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仿宋_GB2312" w:hAnsi="黑体" w:eastAsia="仿宋_GB2312" w:cs="Times New Roman"/>
          <w:sz w:val="28"/>
          <w:szCs w:val="28"/>
        </w:rPr>
      </w:pPr>
      <w:r>
        <w:rPr>
          <w:rFonts w:hint="eastAsia" w:ascii="仿宋_GB2312" w:hAnsi="黑体" w:eastAsia="仿宋_GB2312" w:cs="Times New Roman"/>
          <w:sz w:val="28"/>
          <w:szCs w:val="28"/>
        </w:rPr>
        <w:t>附件</w:t>
      </w: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rPr>
        <w:t>:</w:t>
      </w:r>
    </w:p>
    <w:p>
      <w:pPr>
        <w:widowControl/>
        <w:shd w:val="clear" w:color="auto" w:fill="FFFFFF"/>
        <w:spacing w:line="525" w:lineRule="exact"/>
        <w:jc w:val="center"/>
        <w:rPr>
          <w:rFonts w:ascii="方正小标宋简体" w:hAnsi="黑体" w:eastAsia="方正小标宋简体" w:cs="黑体"/>
          <w:b/>
          <w:bCs/>
          <w:color w:val="333333"/>
          <w:kern w:val="0"/>
          <w:sz w:val="36"/>
          <w:szCs w:val="36"/>
          <w:shd w:val="clear" w:color="auto" w:fill="FFFFFF"/>
        </w:rPr>
      </w:pPr>
      <w:r>
        <w:rPr>
          <w:rFonts w:hint="eastAsia" w:ascii="方正小标宋简体" w:hAnsi="黑体" w:eastAsia="方正小标宋简体" w:cs="黑体"/>
          <w:b/>
          <w:bCs/>
          <w:color w:val="333333"/>
          <w:kern w:val="0"/>
          <w:sz w:val="36"/>
          <w:szCs w:val="36"/>
          <w:shd w:val="clear" w:color="auto" w:fill="FFFFFF"/>
          <w:lang w:eastAsia="zh-CN"/>
        </w:rPr>
        <w:t>化工与材料学</w:t>
      </w:r>
      <w:r>
        <w:rPr>
          <w:rFonts w:hint="eastAsia" w:ascii="方正小标宋简体" w:hAnsi="黑体" w:eastAsia="方正小标宋简体" w:cs="黑体"/>
          <w:b/>
          <w:bCs/>
          <w:color w:val="333333"/>
          <w:kern w:val="0"/>
          <w:sz w:val="36"/>
          <w:szCs w:val="36"/>
          <w:shd w:val="clear" w:color="auto" w:fill="FFFFFF"/>
        </w:rPr>
        <w:t>院</w:t>
      </w:r>
      <w:r>
        <w:rPr>
          <w:rFonts w:ascii="方正小标宋简体" w:hAnsi="黑体" w:eastAsia="方正小标宋简体" w:cs="黑体"/>
          <w:b/>
          <w:bCs/>
          <w:color w:val="333333"/>
          <w:kern w:val="0"/>
          <w:sz w:val="36"/>
          <w:szCs w:val="36"/>
          <w:shd w:val="clear" w:color="auto" w:fill="FFFFFF"/>
        </w:rPr>
        <w:t>“</w:t>
      </w:r>
      <w:r>
        <w:rPr>
          <w:rFonts w:hint="eastAsia" w:ascii="方正小标宋简体" w:hAnsi="黑体" w:eastAsia="方正小标宋简体" w:cs="黑体"/>
          <w:b/>
          <w:bCs/>
          <w:color w:val="333333"/>
          <w:kern w:val="0"/>
          <w:sz w:val="36"/>
          <w:szCs w:val="36"/>
          <w:shd w:val="clear" w:color="auto" w:fill="FFFFFF"/>
        </w:rPr>
        <w:t>金</w:t>
      </w:r>
      <w:r>
        <w:rPr>
          <w:rFonts w:ascii="方正小标宋简体" w:hAnsi="黑体" w:eastAsia="方正小标宋简体" w:cs="黑体"/>
          <w:b/>
          <w:bCs/>
          <w:color w:val="333333"/>
          <w:kern w:val="0"/>
          <w:sz w:val="36"/>
          <w:szCs w:val="36"/>
          <w:shd w:val="clear" w:color="auto" w:fill="FFFFFF"/>
        </w:rPr>
        <w:t>课”</w:t>
      </w:r>
      <w:r>
        <w:rPr>
          <w:rFonts w:hint="eastAsia" w:ascii="方正小标宋简体" w:hAnsi="黑体" w:eastAsia="方正小标宋简体" w:cs="黑体"/>
          <w:b/>
          <w:bCs/>
          <w:color w:val="333333"/>
          <w:kern w:val="0"/>
          <w:sz w:val="36"/>
          <w:szCs w:val="36"/>
          <w:shd w:val="clear" w:color="auto" w:fill="FFFFFF"/>
        </w:rPr>
        <w:t>建设指南（20</w:t>
      </w:r>
      <w:r>
        <w:rPr>
          <w:rFonts w:hint="eastAsia" w:ascii="方正小标宋简体" w:hAnsi="黑体" w:eastAsia="方正小标宋简体" w:cs="黑体"/>
          <w:b/>
          <w:bCs/>
          <w:color w:val="333333"/>
          <w:kern w:val="0"/>
          <w:sz w:val="36"/>
          <w:szCs w:val="36"/>
          <w:shd w:val="clear" w:color="auto" w:fill="FFFFFF"/>
          <w:lang w:val="en-US" w:eastAsia="zh-CN"/>
        </w:rPr>
        <w:t>20</w:t>
      </w:r>
      <w:r>
        <w:rPr>
          <w:rFonts w:hint="eastAsia" w:ascii="方正小标宋简体" w:hAnsi="黑体" w:eastAsia="方正小标宋简体" w:cs="黑体"/>
          <w:b/>
          <w:bCs/>
          <w:color w:val="333333"/>
          <w:kern w:val="0"/>
          <w:sz w:val="36"/>
          <w:szCs w:val="36"/>
          <w:shd w:val="clear" w:color="auto" w:fill="FFFFFF"/>
        </w:rPr>
        <w:t>年</w:t>
      </w:r>
      <w:r>
        <w:rPr>
          <w:rFonts w:ascii="方正小标宋简体" w:hAnsi="黑体" w:eastAsia="方正小标宋简体" w:cs="黑体"/>
          <w:b/>
          <w:bCs/>
          <w:color w:val="333333"/>
          <w:kern w:val="0"/>
          <w:sz w:val="36"/>
          <w:szCs w:val="36"/>
          <w:shd w:val="clear" w:color="auto" w:fill="FFFFFF"/>
        </w:rPr>
        <w:t>）</w:t>
      </w:r>
    </w:p>
    <w:p>
      <w:pPr>
        <w:widowControl/>
        <w:shd w:val="clear" w:color="auto" w:fill="FFFFFF"/>
        <w:spacing w:line="525" w:lineRule="exact"/>
        <w:jc w:val="center"/>
        <w:rPr>
          <w:rFonts w:ascii="方正小标宋简体" w:hAnsi="黑体" w:eastAsia="方正小标宋简体" w:cs="黑体"/>
          <w:b/>
          <w:bCs/>
          <w:color w:val="333333"/>
          <w:kern w:val="0"/>
          <w:sz w:val="36"/>
          <w:szCs w:val="36"/>
          <w:shd w:val="clear" w:color="auto" w:fill="FFFFFF"/>
        </w:rPr>
      </w:pPr>
    </w:p>
    <w:p>
      <w:pPr>
        <w:widowControl/>
        <w:shd w:val="clear" w:color="auto" w:fill="FFFFFF"/>
        <w:spacing w:line="360" w:lineRule="auto"/>
        <w:ind w:firstLine="645"/>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一</w:t>
      </w:r>
      <w:r>
        <w:rPr>
          <w:rFonts w:ascii="宋体" w:hAnsi="宋体" w:eastAsia="宋体" w:cs="宋体"/>
          <w:b/>
          <w:color w:val="333333"/>
          <w:kern w:val="0"/>
          <w:sz w:val="28"/>
          <w:szCs w:val="28"/>
        </w:rPr>
        <w:t>、“金课</w:t>
      </w:r>
      <w:r>
        <w:rPr>
          <w:rFonts w:hint="eastAsia" w:ascii="宋体" w:hAnsi="宋体" w:eastAsia="宋体" w:cs="宋体"/>
          <w:b/>
          <w:color w:val="333333"/>
          <w:kern w:val="0"/>
          <w:sz w:val="28"/>
          <w:szCs w:val="28"/>
        </w:rPr>
        <w:t>”</w:t>
      </w:r>
      <w:r>
        <w:rPr>
          <w:rFonts w:ascii="宋体" w:hAnsi="宋体" w:eastAsia="宋体" w:cs="宋体"/>
          <w:b/>
          <w:color w:val="333333"/>
          <w:kern w:val="0"/>
          <w:sz w:val="28"/>
          <w:szCs w:val="28"/>
        </w:rPr>
        <w:t>的类型</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包含线上“金课</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、线下</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金课</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线上线下混合式“</w:t>
      </w:r>
      <w:r>
        <w:rPr>
          <w:rFonts w:hint="eastAsia" w:ascii="宋体" w:hAnsi="宋体" w:eastAsia="宋体" w:cs="宋体"/>
          <w:color w:val="333333"/>
          <w:kern w:val="0"/>
          <w:sz w:val="28"/>
          <w:szCs w:val="28"/>
        </w:rPr>
        <w:t>金课</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 xml:space="preserve"> 虚拟仿真“金课”、社会实践“</w:t>
      </w:r>
      <w:r>
        <w:rPr>
          <w:rFonts w:hint="eastAsia" w:ascii="宋体" w:hAnsi="宋体" w:eastAsia="宋体" w:cs="宋体"/>
          <w:color w:val="333333"/>
          <w:kern w:val="0"/>
          <w:sz w:val="28"/>
          <w:szCs w:val="28"/>
        </w:rPr>
        <w:t>金课</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w:t>
      </w:r>
    </w:p>
    <w:p>
      <w:pPr>
        <w:widowControl/>
        <w:shd w:val="clear" w:color="auto" w:fill="FFFFFF"/>
        <w:spacing w:line="360" w:lineRule="auto"/>
        <w:ind w:firstLine="645"/>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二、建设标准</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金课”建设要紧紧围绕“两性一度”标准，即高阶性、创新性和挑战度。高阶性指的是课程以知识、能力、素质的有机融合，培养学生解决复杂问题的综合能力和高级思维；创新性指的是课程内容体现前沿性和时代性、教学形式体现先进性和互动性、学习结果具有探究性和个性化；挑战度指的是课程有一定难度，学生课上课下需要较多时间学习和思考。同时，也要充分体现课程思政要求，充分挖掘思想政治教育内容与专业知识技能教育内容有机融合的知识点，构建全员、全程、全方位育人格局，把“立德树人”作为教育根本任务的综合教育理念。</w:t>
      </w:r>
    </w:p>
    <w:p>
      <w:pPr>
        <w:widowControl/>
        <w:shd w:val="clear" w:color="auto" w:fill="FFFFFF"/>
        <w:spacing w:line="360" w:lineRule="auto"/>
        <w:ind w:firstLine="645"/>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三、建设内容</w:t>
      </w:r>
    </w:p>
    <w:p>
      <w:pPr>
        <w:widowControl/>
        <w:shd w:val="clear" w:color="auto" w:fill="FFFFFF"/>
        <w:spacing w:line="360" w:lineRule="auto"/>
        <w:ind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（一）精心编排教学内容。把课程思政要素</w:t>
      </w:r>
      <w:r>
        <w:rPr>
          <w:rFonts w:ascii="宋体" w:hAnsi="宋体" w:eastAsia="宋体" w:cs="宋体"/>
          <w:color w:val="333333"/>
          <w:kern w:val="0"/>
          <w:sz w:val="28"/>
          <w:szCs w:val="28"/>
        </w:rPr>
        <w:t>融入专业</w:t>
      </w:r>
      <w:r>
        <w:rPr>
          <w:rFonts w:hint="eastAsia" w:ascii="宋体" w:hAnsi="宋体" w:eastAsia="宋体" w:cs="宋体"/>
          <w:color w:val="333333"/>
          <w:kern w:val="0"/>
          <w:sz w:val="28"/>
          <w:szCs w:val="28"/>
        </w:rPr>
        <w:t>教学</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充分体现基础与前沿相结合、知识传授与价值引领相结合，并适当提高课程的难度和挑战度。</w:t>
      </w:r>
    </w:p>
    <w:p>
      <w:pPr>
        <w:widowControl/>
        <w:shd w:val="clear" w:color="auto" w:fill="FFFFFF"/>
        <w:spacing w:line="360" w:lineRule="auto"/>
        <w:ind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（二</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打造</w:t>
      </w:r>
      <w:r>
        <w:rPr>
          <w:rFonts w:ascii="宋体" w:hAnsi="宋体" w:eastAsia="宋体" w:cs="宋体"/>
          <w:color w:val="333333"/>
          <w:kern w:val="0"/>
          <w:sz w:val="28"/>
          <w:szCs w:val="28"/>
        </w:rPr>
        <w:t>一流课程</w:t>
      </w:r>
      <w:r>
        <w:rPr>
          <w:rFonts w:hint="eastAsia" w:ascii="宋体" w:hAnsi="宋体" w:eastAsia="宋体" w:cs="宋体"/>
          <w:color w:val="333333"/>
          <w:kern w:val="0"/>
          <w:sz w:val="28"/>
          <w:szCs w:val="28"/>
        </w:rPr>
        <w:t>资源</w:t>
      </w:r>
      <w:r>
        <w:rPr>
          <w:rFonts w:ascii="宋体" w:hAnsi="宋体" w:eastAsia="宋体" w:cs="宋体"/>
          <w:color w:val="333333"/>
          <w:kern w:val="0"/>
          <w:sz w:val="28"/>
          <w:szCs w:val="28"/>
        </w:rPr>
        <w:t>。</w:t>
      </w:r>
      <w:r>
        <w:rPr>
          <w:rFonts w:hint="eastAsia" w:ascii="宋体" w:hAnsi="宋体" w:eastAsia="宋体" w:cs="宋体"/>
          <w:color w:val="333333"/>
          <w:kern w:val="0"/>
          <w:sz w:val="28"/>
          <w:szCs w:val="28"/>
        </w:rPr>
        <w:t>形成</w:t>
      </w:r>
      <w:r>
        <w:rPr>
          <w:rFonts w:ascii="宋体" w:hAnsi="宋体" w:eastAsia="宋体" w:cs="宋体"/>
          <w:color w:val="333333"/>
          <w:kern w:val="0"/>
          <w:sz w:val="28"/>
          <w:szCs w:val="28"/>
        </w:rPr>
        <w:t>以知识点</w:t>
      </w:r>
      <w:r>
        <w:rPr>
          <w:rFonts w:hint="eastAsia" w:ascii="宋体" w:hAnsi="宋体" w:eastAsia="宋体" w:cs="宋体"/>
          <w:color w:val="333333"/>
          <w:kern w:val="0"/>
          <w:sz w:val="28"/>
          <w:szCs w:val="28"/>
        </w:rPr>
        <w:t>为中心</w:t>
      </w:r>
      <w:r>
        <w:rPr>
          <w:rFonts w:ascii="宋体" w:hAnsi="宋体" w:eastAsia="宋体" w:cs="宋体"/>
          <w:color w:val="333333"/>
          <w:kern w:val="0"/>
          <w:sz w:val="28"/>
          <w:szCs w:val="28"/>
        </w:rPr>
        <w:t>的</w:t>
      </w:r>
      <w:r>
        <w:rPr>
          <w:rFonts w:hint="eastAsia" w:ascii="宋体" w:hAnsi="宋体" w:eastAsia="宋体" w:cs="宋体"/>
          <w:color w:val="333333"/>
          <w:kern w:val="0"/>
          <w:sz w:val="28"/>
          <w:szCs w:val="28"/>
        </w:rPr>
        <w:t>完整</w:t>
      </w:r>
      <w:r>
        <w:rPr>
          <w:rFonts w:ascii="宋体" w:hAnsi="宋体" w:eastAsia="宋体" w:cs="宋体"/>
          <w:color w:val="333333"/>
          <w:kern w:val="0"/>
          <w:sz w:val="28"/>
          <w:szCs w:val="28"/>
        </w:rPr>
        <w:t>媒体教学资源</w:t>
      </w: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上线学校网络课程平台，满足学生个性化学习的需求。</w:t>
      </w:r>
    </w:p>
    <w:p>
      <w:pPr>
        <w:widowControl/>
        <w:shd w:val="clear" w:color="auto" w:fill="FFFFFF"/>
        <w:spacing w:line="360" w:lineRule="auto"/>
        <w:ind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（三）积极推动教学方法改革。开展互动式、启发式、探究式教学，重视组织高质量的课堂讨论，努力培养学生主动学习、深入思考、准确表达的能力。</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（四）积极推动教育教学与信息技术的深度融合。立项建设的线上“金课”、</w:t>
      </w:r>
      <w:r>
        <w:rPr>
          <w:rFonts w:ascii="宋体" w:hAnsi="宋体" w:eastAsia="宋体" w:cs="宋体"/>
          <w:color w:val="333333"/>
          <w:kern w:val="0"/>
          <w:sz w:val="28"/>
          <w:szCs w:val="28"/>
        </w:rPr>
        <w:t>混合式</w:t>
      </w:r>
      <w:r>
        <w:rPr>
          <w:rFonts w:hint="eastAsia" w:ascii="宋体" w:hAnsi="宋体" w:eastAsia="宋体" w:cs="宋体"/>
          <w:color w:val="333333"/>
          <w:kern w:val="0"/>
          <w:sz w:val="28"/>
          <w:szCs w:val="28"/>
        </w:rPr>
        <w:t>“金课”、虚拟仿真“金课”均须在常州工学院“爱课程”在线课程中心建课，其余</w:t>
      </w:r>
      <w:r>
        <w:rPr>
          <w:rFonts w:ascii="宋体" w:hAnsi="宋体" w:eastAsia="宋体" w:cs="宋体"/>
          <w:color w:val="333333"/>
          <w:kern w:val="0"/>
          <w:sz w:val="28"/>
          <w:szCs w:val="28"/>
        </w:rPr>
        <w:t>课程必须在毕博课程平台中建课，</w:t>
      </w:r>
      <w:r>
        <w:rPr>
          <w:rFonts w:hint="eastAsia" w:ascii="宋体" w:hAnsi="宋体" w:eastAsia="宋体" w:cs="宋体"/>
          <w:color w:val="333333"/>
          <w:kern w:val="0"/>
          <w:sz w:val="28"/>
          <w:szCs w:val="28"/>
        </w:rPr>
        <w:t>并因时制宜开展翻转课堂及线上线下混合式教学（申报线上“金课”、线上线下混合式“金课”、虚拟仿真 “金课”类型的，开展翻转课堂及线上线下混合式教学作为一项基本要求）。</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（五）严格课堂教学管理。立项建设的课程均须充分利用课堂教学新手段，进行辅助考勤，开展课堂测验。</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六）突出过程考核。采用多样化的作业设计体系和课程考核方式，加大学生学习过程考核，培养学生发现问题、分析问题、解决问题的能力和创新、创业、创造的能力。作业体系可由基础题、发散题、固定题和拓展题等构成；课程成绩应由课堂的讨论和测验、平时的考勤和作业、期末的论文和考试等部分组成，其中期末考试成绩占比不超过60%，期末考试突出知识的灵活应用，尝试使用无标准答案的思考分析考题。</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（七）开展课程建设情况调研工作，结合学生反馈意见，及时调整课程建设内容和教学方法手段。</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（八）建设周期内，每门课程原则上应发表1篇核心</w:t>
      </w:r>
      <w:r>
        <w:rPr>
          <w:rFonts w:ascii="宋体" w:hAnsi="宋体" w:eastAsia="宋体" w:cs="宋体"/>
          <w:color w:val="333333"/>
          <w:kern w:val="0"/>
          <w:sz w:val="28"/>
          <w:szCs w:val="28"/>
        </w:rPr>
        <w:t>期刊</w:t>
      </w:r>
      <w:r>
        <w:rPr>
          <w:rFonts w:hint="eastAsia" w:ascii="宋体" w:hAnsi="宋体" w:eastAsia="宋体" w:cs="宋体"/>
          <w:color w:val="333333"/>
          <w:kern w:val="0"/>
          <w:sz w:val="28"/>
          <w:szCs w:val="28"/>
        </w:rPr>
        <w:t>教学研究论文或获批校级以上教学研究项目1项。</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（九）总结课程建设经验，发挥示范引领作用，推动学校提高课程建设整体水平。</w:t>
      </w:r>
    </w:p>
    <w:p>
      <w:pPr>
        <w:widowControl/>
        <w:shd w:val="clear" w:color="auto" w:fill="FFFFFF"/>
        <w:spacing w:line="360" w:lineRule="auto"/>
        <w:ind w:firstLine="645"/>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四、申报要求</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一）申报范围。已列入我校人才培养方案的课程均可申报。课程组全体成员须具有正确的政治方向、良好的师德师风、高度的教学热情，具有较为先进的课程建设理念、较为丰富的教育教学经验、较为科学的教育教学方法，教学效果优秀，并能保证课程按期保质建设、更新、应用和推广。</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（二）申报数量。同一位教师原则上只能申报主持一门课程建设。</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（三）建设周期。2年。</w:t>
      </w:r>
    </w:p>
    <w:p>
      <w:pPr>
        <w:widowControl/>
        <w:shd w:val="clear" w:color="auto" w:fill="FFFFFF"/>
        <w:spacing w:line="360" w:lineRule="auto"/>
        <w:ind w:firstLine="645"/>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五、保障措施</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（一）获批立项的“金课”，每门资助</w:t>
      </w:r>
      <w:r>
        <w:rPr>
          <w:rFonts w:hint="eastAsia" w:ascii="宋体" w:hAnsi="宋体" w:eastAsia="宋体" w:cs="宋体"/>
          <w:color w:val="333333"/>
          <w:kern w:val="0"/>
          <w:sz w:val="28"/>
          <w:szCs w:val="28"/>
          <w:lang w:val="en-US" w:eastAsia="zh-CN"/>
        </w:rPr>
        <w:t>1000</w:t>
      </w:r>
      <w:r>
        <w:rPr>
          <w:rFonts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5000</w:t>
      </w:r>
      <w:bookmarkStart w:id="0" w:name="_GoBack"/>
      <w:bookmarkEnd w:id="0"/>
      <w:r>
        <w:rPr>
          <w:rFonts w:hint="eastAsia" w:ascii="宋体" w:hAnsi="宋体" w:eastAsia="宋体" w:cs="宋体"/>
          <w:color w:val="333333"/>
          <w:kern w:val="0"/>
          <w:sz w:val="28"/>
          <w:szCs w:val="28"/>
        </w:rPr>
        <w:t>元</w:t>
      </w:r>
      <w:r>
        <w:rPr>
          <w:rFonts w:ascii="宋体" w:hAnsi="宋体" w:eastAsia="宋体" w:cs="宋体"/>
          <w:color w:val="333333"/>
          <w:kern w:val="0"/>
          <w:sz w:val="28"/>
          <w:szCs w:val="28"/>
        </w:rPr>
        <w:t>，资</w:t>
      </w:r>
      <w:r>
        <w:rPr>
          <w:rFonts w:hint="eastAsia" w:ascii="宋体" w:hAnsi="宋体" w:eastAsia="宋体" w:cs="宋体"/>
          <w:color w:val="333333"/>
          <w:kern w:val="0"/>
          <w:sz w:val="28"/>
          <w:szCs w:val="28"/>
        </w:rPr>
        <w:t>助经费分两期下拨，立项后下拨50%，中期检查合格后拨付剩余50%。</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（二）对中期检查不合格的项目将撤销立项、不予后期经费资助，对顺利结题的授予“</w:t>
      </w:r>
      <w:r>
        <w:rPr>
          <w:rFonts w:hint="eastAsia" w:ascii="宋体" w:hAnsi="宋体" w:eastAsia="宋体" w:cs="宋体"/>
          <w:color w:val="333333"/>
          <w:kern w:val="0"/>
          <w:sz w:val="28"/>
          <w:szCs w:val="28"/>
          <w:lang w:eastAsia="zh-CN"/>
        </w:rPr>
        <w:t>化工与材料学</w:t>
      </w:r>
      <w:r>
        <w:rPr>
          <w:rFonts w:hint="eastAsia" w:ascii="宋体" w:hAnsi="宋体" w:eastAsia="宋体" w:cs="宋体"/>
          <w:color w:val="333333"/>
          <w:kern w:val="0"/>
          <w:sz w:val="28"/>
          <w:szCs w:val="28"/>
        </w:rPr>
        <w:t>院金课”荣誉称号。</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（三）</w:t>
      </w:r>
      <w:r>
        <w:rPr>
          <w:rFonts w:hint="eastAsia" w:ascii="宋体" w:hAnsi="宋体" w:eastAsia="宋体" w:cs="宋体"/>
          <w:color w:val="333333"/>
          <w:kern w:val="0"/>
          <w:sz w:val="28"/>
          <w:szCs w:val="28"/>
          <w:lang w:eastAsia="zh-CN"/>
        </w:rPr>
        <w:t>学院</w:t>
      </w:r>
      <w:r>
        <w:rPr>
          <w:rFonts w:hint="eastAsia" w:ascii="宋体" w:hAnsi="宋体" w:eastAsia="宋体" w:cs="宋体"/>
          <w:color w:val="333333"/>
          <w:kern w:val="0"/>
          <w:sz w:val="28"/>
          <w:szCs w:val="28"/>
        </w:rPr>
        <w:t>将组织人员，对立项课程进行全面评估，包括查阅档案、组织听课、访谈学生等，重点对比课程改革前后教学效果的变化情况，及其实践推广应用价值。</w:t>
      </w:r>
    </w:p>
    <w:p>
      <w:pPr>
        <w:widowControl/>
        <w:shd w:val="clear" w:color="auto" w:fill="FFFFFF"/>
        <w:spacing w:line="360" w:lineRule="auto"/>
        <w:ind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（四）学</w:t>
      </w:r>
      <w:r>
        <w:rPr>
          <w:rFonts w:hint="eastAsia" w:ascii="宋体" w:hAnsi="宋体" w:eastAsia="宋体" w:cs="宋体"/>
          <w:color w:val="333333"/>
          <w:kern w:val="0"/>
          <w:sz w:val="28"/>
          <w:szCs w:val="28"/>
          <w:lang w:eastAsia="zh-CN"/>
        </w:rPr>
        <w:t>院</w:t>
      </w:r>
      <w:r>
        <w:rPr>
          <w:rFonts w:hint="eastAsia" w:ascii="宋体" w:hAnsi="宋体" w:eastAsia="宋体" w:cs="宋体"/>
          <w:color w:val="333333"/>
          <w:kern w:val="0"/>
          <w:sz w:val="28"/>
          <w:szCs w:val="28"/>
        </w:rPr>
        <w:t>将适时打造“金课”工作坊，探索“金课”方法论，凝练“金课”成果展，充分发挥“金课”示范引领作用，推动学</w:t>
      </w:r>
      <w:r>
        <w:rPr>
          <w:rFonts w:hint="eastAsia" w:ascii="宋体" w:hAnsi="宋体" w:eastAsia="宋体" w:cs="宋体"/>
          <w:color w:val="333333"/>
          <w:kern w:val="0"/>
          <w:sz w:val="28"/>
          <w:szCs w:val="28"/>
          <w:lang w:eastAsia="zh-CN"/>
        </w:rPr>
        <w:t>院</w:t>
      </w:r>
      <w:r>
        <w:rPr>
          <w:rFonts w:hint="eastAsia" w:ascii="宋体" w:hAnsi="宋体" w:eastAsia="宋体" w:cs="宋体"/>
          <w:color w:val="333333"/>
          <w:kern w:val="0"/>
          <w:sz w:val="28"/>
          <w:szCs w:val="28"/>
        </w:rPr>
        <w:t>课程建设整体水平的不断提升。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319B"/>
    <w:rsid w:val="000145C9"/>
    <w:rsid w:val="000A7CE9"/>
    <w:rsid w:val="000B6A38"/>
    <w:rsid w:val="001A04D4"/>
    <w:rsid w:val="001D30FC"/>
    <w:rsid w:val="00213E0B"/>
    <w:rsid w:val="002C4592"/>
    <w:rsid w:val="00324AFC"/>
    <w:rsid w:val="00384935"/>
    <w:rsid w:val="0058319B"/>
    <w:rsid w:val="00645AC7"/>
    <w:rsid w:val="00674449"/>
    <w:rsid w:val="007725CE"/>
    <w:rsid w:val="008461B4"/>
    <w:rsid w:val="008E7B3C"/>
    <w:rsid w:val="0095791E"/>
    <w:rsid w:val="009A2B3C"/>
    <w:rsid w:val="00AC63E6"/>
    <w:rsid w:val="00CE1CBC"/>
    <w:rsid w:val="00DC788B"/>
    <w:rsid w:val="00E9326C"/>
    <w:rsid w:val="00F05DEF"/>
    <w:rsid w:val="00FB14C4"/>
    <w:rsid w:val="230255ED"/>
    <w:rsid w:val="3E354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color w:val="CC0000"/>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1368</Characters>
  <Lines>11</Lines>
  <Paragraphs>3</Paragraphs>
  <TotalTime>3</TotalTime>
  <ScaleCrop>false</ScaleCrop>
  <LinksUpToDate>false</LinksUpToDate>
  <CharactersWithSpaces>1604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2019-07-01T06:27:00Z</dcterms:created>
  <dc:creator>hzx</dc:creator>
  <cp:lastModifiedBy>Administrator</cp:lastModifiedBy>
  <dcterms:modified xsi:type="dcterms:W3CDTF">2020-01-10T03:02:09Z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